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Table 1 Pay scale awards matched to Governing Political Party</w:t>
      </w:r>
    </w:p>
    <w:tbl>
      <w:tblPr/>
      <w:tblGrid>
        <w:gridCol w:w="1228"/>
        <w:gridCol w:w="3416"/>
        <w:gridCol w:w="2385"/>
        <w:gridCol w:w="1987"/>
      </w:tblGrid>
      <w:tr>
        <w:trPr>
          <w:trHeight w:val="1" w:hRule="atLeast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Tax year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DDRB recommended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Awarded</w:t>
            </w:r>
          </w:p>
        </w:tc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Goverment party</w:t>
            </w:r>
          </w:p>
        </w:tc>
      </w:tr>
      <w:tr>
        <w:trPr>
          <w:trHeight w:val="1" w:hRule="atLeast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2008/9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2.2%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2.2%</w:t>
            </w:r>
          </w:p>
        </w:tc>
        <w:tc>
          <w:tcPr>
            <w:tcW w:w="19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Labour</w:t>
            </w:r>
          </w:p>
        </w:tc>
      </w:tr>
      <w:tr>
        <w:trPr>
          <w:trHeight w:val="300" w:hRule="auto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2009/10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20010/11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Foundation house officers (1 and 2) and their equivalents (house officers and senior house officers)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 1.5 %;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19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Conservative Liberal Democrat Coalition</w:t>
            </w: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 and other training grades 1%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Consultants 0%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2011/12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Junior trainees No recommendation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Pay freeze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Consultants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2012/13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Junior trainees No recomendation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Pay freeze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Grades/ Registrars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2013/14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junior trainees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Staff Grades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2014/15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BUT unconsolidated for those on top of payscale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BUT unconsolidated for those on top of payscale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FY: top scale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 top scale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66" w:hRule="auto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2015/16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BUT unconsolidated for those on top of pay scale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BUT unconsolidated for those on top of payscale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198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Conservative</w:t>
            </w:r>
          </w:p>
        </w:tc>
      </w:tr>
      <w:tr>
        <w:trPr>
          <w:trHeight w:val="212" w:hRule="auto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 top scale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2016/17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2017/18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FY 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1%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2018/19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FY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2019/20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FY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2.5% 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2020/21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2.8%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2021/22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3% plus an additional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non-consolidated.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3% plus an additional 0.5%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non-consolidated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2022/23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4.5%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2023/24</w:t>
            </w: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General 6%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For Doctors in training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6% plus £1,250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New contract SAS 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3%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202124"/>
                <w:spacing w:val="0"/>
                <w:position w:val="0"/>
                <w:sz w:val="24"/>
                <w:shd w:fill="FFFFFF" w:val="clear"/>
              </w:rPr>
              <w:t xml:space="preserve">6% plus £1,250 </w:t>
            </w:r>
          </w:p>
        </w:tc>
        <w:tc>
          <w:tcPr>
            <w:tcW w:w="198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2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6%</w:t>
            </w:r>
          </w:p>
        </w:tc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2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2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Table 2 pay recommendations and awards compared to annual inflation rate</w:t>
      </w:r>
    </w:p>
    <w:tbl>
      <w:tblPr/>
      <w:tblGrid>
        <w:gridCol w:w="1230"/>
        <w:gridCol w:w="3537"/>
        <w:gridCol w:w="2404"/>
        <w:gridCol w:w="1845"/>
      </w:tblGrid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Tax year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DDRB recommendedd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Awarded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Actual recorded annual inflation rate %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2008/9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2.2%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2.2%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3.52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2009/10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1.96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20010/11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foundation house officers (1 and 2) and their equivalents (house officers and senior house officers)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 1.5 %;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registrars, specialty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doctors and associate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specialists (SAS) grades,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salaried GMPs, salaried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dentists </w:t>
            </w: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1%;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and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•</w:t>
            </w: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consultants,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independent contractor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GMPs and GDPs </w:t>
            </w: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0%.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2.49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 and other training grades 1%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Consultants 0%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2011/12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Junior trainees No recommendation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Pay freeze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3.86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Consultants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2012/13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Junior trainees No reccomendation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Pay freeze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2.57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2013/14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junior trainees</w:t>
            </w:r>
          </w:p>
        </w:tc>
        <w:tc>
          <w:tcPr>
            <w:tcW w:w="24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2.29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Staff Grades</w:t>
            </w:r>
          </w:p>
        </w:tc>
        <w:tc>
          <w:tcPr>
            <w:tcW w:w="24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Consultant</w:t>
            </w:r>
          </w:p>
        </w:tc>
        <w:tc>
          <w:tcPr>
            <w:tcW w:w="24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2014/15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BUT unconsolidated for those on top of payscale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1.45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FY: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2015/16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BUT unconsolidated for those on top of payscale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0.87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2016/17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FY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1.01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2017/18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FY 1%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2.56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2018/19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2%  FY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2.29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2019/20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2.5%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2.5% FY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1.74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0.99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2020/21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2.8%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2.8% FY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2021/22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3% plus an additional 0.5%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non-consolidated for all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medical and dental workforce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with the exception of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Foundation doctors who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received 1% non-consolidated.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2.52</w:t>
            </w: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2022/23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4.5%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4.5% FY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2023/24</w:t>
            </w:r>
          </w:p>
        </w:tc>
        <w:tc>
          <w:tcPr>
            <w:tcW w:w="3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General 6%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For Doctors in training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6% plus £1,250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New contract SAS 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3%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6% for all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202124"/>
                <w:spacing w:val="0"/>
                <w:position w:val="0"/>
                <w:sz w:val="24"/>
                <w:shd w:fill="FFFFFF" w:val="clear"/>
              </w:rPr>
              <w:t xml:space="preserve">6% plus £1,250 for trainees FY</w:t>
            </w:r>
          </w:p>
        </w:tc>
        <w:tc>
          <w:tcPr>
            <w:tcW w:w="1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7.92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Table 3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Conversion of DDRB award recommendation vs actual Gvt award 2008-2023 converted into monetary terms compared to: inflation of 3.38%</w:t>
      </w:r>
    </w:p>
    <w:tbl>
      <w:tblPr/>
      <w:tblGrid>
        <w:gridCol w:w="1096"/>
        <w:gridCol w:w="1765"/>
        <w:gridCol w:w="1197"/>
        <w:gridCol w:w="815"/>
        <w:gridCol w:w="1405"/>
        <w:gridCol w:w="1011"/>
        <w:gridCol w:w="900"/>
        <w:gridCol w:w="827"/>
      </w:tblGrid>
      <w:tr>
        <w:trPr>
          <w:trHeight w:val="1" w:hRule="atLeast"/>
          <w:jc w:val="left"/>
        </w:trPr>
        <w:tc>
          <w:tcPr>
            <w:tcW w:w="1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Tax year</w:t>
            </w: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DDRB recommended award (%)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% Awarded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£1 ave value with UK inflation (£)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Cumulative value of £1 wage if DDRB recommendation  awarded (£)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Cumulative value of £1 wage following Gvt approved award (£)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Cumulative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16"/>
                <w:shd w:fill="auto" w:val="clear"/>
              </w:rPr>
              <w:t xml:space="preserve">Deficit (pence</w:t>
            </w: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Defecit between DDRB and awarded (%)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2008/9</w:t>
            </w: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2.2%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2.2%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1.02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2009/10</w:t>
            </w: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20010/11</w:t>
            </w: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foundation house officers (1 and 2) and their equivalents (house officers and senior house officers) 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000000"/>
                <w:spacing w:val="0"/>
                <w:position w:val="0"/>
                <w:sz w:val="24"/>
                <w:shd w:fill="auto" w:val="clear"/>
              </w:rPr>
              <w:t xml:space="preserve"> 1.5 %;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1.5%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1.069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 FY trainees and SHO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 and other training grades 1%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 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Consultants 0%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0%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2011/12</w:t>
            </w: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Junior trainees No recommendation</w:t>
            </w:r>
          </w:p>
        </w:tc>
        <w:tc>
          <w:tcPr>
            <w:tcW w:w="11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Pay freeze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1.105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-4.5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</w:t>
            </w:r>
          </w:p>
        </w:tc>
        <w:tc>
          <w:tcPr>
            <w:tcW w:w="11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-4.5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Consultants</w:t>
            </w:r>
          </w:p>
        </w:tc>
        <w:tc>
          <w:tcPr>
            <w:tcW w:w="11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-6.5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2012/13</w:t>
            </w: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Junior trainees No reccomendation</w:t>
            </w:r>
          </w:p>
        </w:tc>
        <w:tc>
          <w:tcPr>
            <w:tcW w:w="11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Pay freeze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1.14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-8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Grades</w:t>
            </w:r>
          </w:p>
        </w:tc>
        <w:tc>
          <w:tcPr>
            <w:tcW w:w="11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-8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11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1.04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-10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2013/14</w:t>
            </w: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junior trainees</w:t>
            </w:r>
          </w:p>
        </w:tc>
        <w:tc>
          <w:tcPr>
            <w:tcW w:w="119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1.18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Staff Grades</w:t>
            </w:r>
          </w:p>
        </w:tc>
        <w:tc>
          <w:tcPr>
            <w:tcW w:w="11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Consultant</w:t>
            </w:r>
          </w:p>
        </w:tc>
        <w:tc>
          <w:tcPr>
            <w:tcW w:w="119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1.05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-13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2014/15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BUT unconsolidated for those on top of payscale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1.22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-14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FY: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1.79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-14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-18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1.05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-19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2015/16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BUT unconsolidated for those on top of payscale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1.26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-17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-18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-17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SG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-17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-19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1.05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-19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-1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2016/17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 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1.30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-20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-20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-20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-22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-24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2017/18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1.35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-24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-24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-26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1.07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1.09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-27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2018/19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1.39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1.13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1.13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-26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1.12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-27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1.13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1.13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-26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1.12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-27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-28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1.10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1.11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-29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2019/20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2.5%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2.5% 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1.44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-28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1.15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-29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-28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1.15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-29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1.14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1.14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-30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1.13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1.14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2020/21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2.8%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2.8% 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1.49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-30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1.18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1.19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-30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1.18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1.17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1.17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-32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1.17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-33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2021/22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3% plus an additional 0.5%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non-consolidated for all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medical and dental workforce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with the exception of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Foundation doctors who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received 1% non-consolidated.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1.54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1.23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1.22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-33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1.23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1.23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-32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1.22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1.22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-33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1.20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1.20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-34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1.19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1.20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2022/23</w:t>
            </w: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4.5%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4.5% FY</w:t>
            </w:r>
          </w:p>
        </w:tc>
        <w:tc>
          <w:tcPr>
            <w:tcW w:w="8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1.59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1.28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FY 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1.27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1.27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-32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1.28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1.28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-31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Staff Grade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1.27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1.27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-32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1.25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-34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Consultant top scale</w:t>
            </w:r>
          </w:p>
        </w:tc>
        <w:tc>
          <w:tcPr>
            <w:tcW w:w="8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1.24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1.25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-35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  <w:tr>
        <w:trPr>
          <w:trHeight w:val="1" w:hRule="atLeast"/>
          <w:jc w:val="left"/>
        </w:trPr>
        <w:tc>
          <w:tcPr>
            <w:tcW w:w="1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2023/24</w:t>
            </w:r>
          </w:p>
        </w:tc>
        <w:tc>
          <w:tcPr>
            <w:tcW w:w="17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General 6%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For Doctors in training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6% plus £1,250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New contract SAS 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 3%</w:t>
            </w:r>
          </w:p>
        </w:tc>
        <w:tc>
          <w:tcPr>
            <w:tcW w:w="11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ahoma" w:hAnsi="Tahoma" w:cs="Tahoma" w:eastAsia="Tahoma"/>
                <w:color w:val="202124"/>
                <w:spacing w:val="0"/>
                <w:position w:val="0"/>
                <w:sz w:val="24"/>
                <w:shd w:fill="FFFFFF" w:val="clear"/>
              </w:rPr>
              <w:t xml:space="preserve">FY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1.65</w:t>
            </w:r>
          </w:p>
        </w:tc>
        <w:tc>
          <w:tcPr>
            <w:tcW w:w="1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1.36</w:t>
            </w:r>
          </w:p>
        </w:tc>
        <w:tc>
          <w:tcPr>
            <w:tcW w:w="1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1.36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-29</w:t>
            </w:r>
          </w:p>
        </w:tc>
        <w:tc>
          <w:tcPr>
            <w:tcW w:w="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